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F8BA2" w14:textId="067743A0" w:rsidR="008F691E" w:rsidRPr="005F7044" w:rsidRDefault="008F691E" w:rsidP="005F7044">
      <w:pPr>
        <w:spacing w:before="100" w:after="100"/>
        <w:jc w:val="center"/>
        <w:rPr>
          <w:rFonts w:asciiTheme="minorHAnsi" w:hAnsiTheme="minorHAnsi"/>
          <w:b/>
          <w:bCs/>
          <w:color w:val="2D2D2D"/>
          <w:sz w:val="28"/>
          <w:szCs w:val="28"/>
        </w:rPr>
      </w:pPr>
      <w:r w:rsidRPr="005F7044">
        <w:rPr>
          <w:rFonts w:asciiTheme="minorHAnsi" w:hAnsiTheme="minorHAnsi"/>
          <w:b/>
          <w:bCs/>
          <w:color w:val="2D2D2D"/>
          <w:sz w:val="28"/>
          <w:szCs w:val="28"/>
        </w:rPr>
        <w:t>GUIDA ALLA LETTURA:</w:t>
      </w:r>
    </w:p>
    <w:p w14:paraId="3DDBE1A1" w14:textId="77777777" w:rsidR="005F7044" w:rsidRDefault="005F7044" w:rsidP="008F691E">
      <w:pPr>
        <w:spacing w:before="100" w:after="100"/>
        <w:jc w:val="both"/>
        <w:rPr>
          <w:rFonts w:asciiTheme="minorHAnsi" w:hAnsiTheme="minorHAnsi"/>
          <w:color w:val="2D2D2D"/>
          <w:sz w:val="24"/>
          <w:szCs w:val="24"/>
        </w:rPr>
      </w:pPr>
    </w:p>
    <w:p w14:paraId="23A56902" w14:textId="36177B24" w:rsidR="008F691E" w:rsidRPr="008F691E" w:rsidRDefault="008F691E" w:rsidP="008F691E">
      <w:pPr>
        <w:spacing w:before="100" w:after="100"/>
        <w:jc w:val="both"/>
        <w:rPr>
          <w:rFonts w:asciiTheme="minorHAnsi" w:hAnsiTheme="minorHAnsi"/>
          <w:color w:val="2D2D2D"/>
          <w:sz w:val="24"/>
          <w:szCs w:val="24"/>
        </w:rPr>
      </w:pPr>
      <w:r w:rsidRPr="008F691E">
        <w:rPr>
          <w:rFonts w:asciiTheme="minorHAnsi" w:hAnsiTheme="minorHAnsi"/>
          <w:color w:val="2D2D2D"/>
          <w:sz w:val="24"/>
          <w:szCs w:val="24"/>
        </w:rPr>
        <w:t>Il sistema SIRP consente di caricare in blocco le informazioni relative agli avanzamenti finanziari di un progetto attraverso l’import di un file in formato .txt direttamente nell’applicativo alla sezione “Gestione Import Avanzamenti Finanziari”.</w:t>
      </w:r>
    </w:p>
    <w:p w14:paraId="2BB03314" w14:textId="4E1E7C38"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Ogni file in formato .txt è composto da righe, ciascuna delle quali rappresenta un'entità da censire nel sistema (ad esempio un percettore, un pagamento, un giustificativo).</w:t>
      </w:r>
    </w:p>
    <w:p w14:paraId="21A44C2D"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 xml:space="preserve">Ogni riga segue un tracciato preciso: i valori dei singoli campi sono separati dal simbolo pipe </w:t>
      </w:r>
      <w:proofErr w:type="gramStart"/>
      <w:r w:rsidRPr="008F691E">
        <w:rPr>
          <w:rFonts w:asciiTheme="minorHAnsi" w:hAnsiTheme="minorHAnsi"/>
          <w:color w:val="2D2D2D"/>
          <w:sz w:val="24"/>
          <w:szCs w:val="24"/>
        </w:rPr>
        <w:t>( |</w:t>
      </w:r>
      <w:proofErr w:type="gramEnd"/>
      <w:r w:rsidRPr="008F691E">
        <w:rPr>
          <w:rFonts w:asciiTheme="minorHAnsi" w:hAnsiTheme="minorHAnsi"/>
          <w:color w:val="2D2D2D"/>
          <w:sz w:val="24"/>
          <w:szCs w:val="24"/>
        </w:rPr>
        <w:t xml:space="preserve"> ) e devono rispettare l'ordine e il formato indicati nel template Excel di riferimento. Anche i campi non compilati devono essere mantenuti nella riga, lasciando vuoto lo spazio tra le due pipe corrispondenti.</w:t>
      </w:r>
    </w:p>
    <w:p w14:paraId="370B1FE2" w14:textId="749D3D31" w:rsidR="008F691E" w:rsidRPr="008F691E" w:rsidRDefault="008F691E" w:rsidP="008F691E">
      <w:pPr>
        <w:spacing w:before="100" w:after="100"/>
        <w:jc w:val="both"/>
        <w:rPr>
          <w:rFonts w:asciiTheme="minorHAnsi" w:hAnsiTheme="minorHAnsi"/>
          <w:color w:val="2D2D2D"/>
          <w:sz w:val="24"/>
          <w:szCs w:val="24"/>
        </w:rPr>
      </w:pPr>
      <w:r w:rsidRPr="008F691E">
        <w:rPr>
          <w:rFonts w:asciiTheme="minorHAnsi" w:hAnsiTheme="minorHAnsi"/>
          <w:color w:val="2D2D2D"/>
          <w:sz w:val="24"/>
          <w:szCs w:val="24"/>
        </w:rPr>
        <w:t>Le entità che compongono un file di import completo sono le seguenti:</w:t>
      </w:r>
    </w:p>
    <w:p w14:paraId="1D443FF5" w14:textId="243DDD5E"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Per progetti con modalità di rendicontazione a costi reali:</w:t>
      </w:r>
    </w:p>
    <w:p w14:paraId="40D2EA28" w14:textId="77777777" w:rsidR="008F691E" w:rsidRPr="008F691E" w:rsidRDefault="008F691E" w:rsidP="008F691E">
      <w:pPr>
        <w:pStyle w:val="Paragrafoelenco"/>
        <w:numPr>
          <w:ilvl w:val="0"/>
          <w:numId w:val="1"/>
        </w:numPr>
        <w:spacing w:before="60" w:after="60"/>
        <w:contextualSpacing w:val="0"/>
        <w:rPr>
          <w:rFonts w:asciiTheme="minorHAnsi" w:hAnsiTheme="minorHAnsi"/>
          <w:sz w:val="24"/>
          <w:szCs w:val="24"/>
        </w:rPr>
      </w:pPr>
      <w:r w:rsidRPr="008F691E">
        <w:rPr>
          <w:rFonts w:asciiTheme="minorHAnsi" w:hAnsiTheme="minorHAnsi"/>
          <w:color w:val="2D2D2D"/>
          <w:sz w:val="24"/>
          <w:szCs w:val="24"/>
        </w:rPr>
        <w:t>Percettori</w:t>
      </w:r>
    </w:p>
    <w:p w14:paraId="766DDE30" w14:textId="77777777" w:rsidR="008F691E" w:rsidRPr="008F691E" w:rsidRDefault="008F691E" w:rsidP="008F691E">
      <w:pPr>
        <w:pStyle w:val="Paragrafoelenco"/>
        <w:numPr>
          <w:ilvl w:val="0"/>
          <w:numId w:val="1"/>
        </w:numPr>
        <w:spacing w:before="60" w:after="60"/>
        <w:contextualSpacing w:val="0"/>
        <w:rPr>
          <w:rFonts w:asciiTheme="minorHAnsi" w:hAnsiTheme="minorHAnsi"/>
          <w:sz w:val="24"/>
          <w:szCs w:val="24"/>
        </w:rPr>
      </w:pPr>
      <w:r w:rsidRPr="008F691E">
        <w:rPr>
          <w:rFonts w:asciiTheme="minorHAnsi" w:hAnsiTheme="minorHAnsi"/>
          <w:color w:val="2D2D2D"/>
          <w:sz w:val="24"/>
          <w:szCs w:val="24"/>
        </w:rPr>
        <w:t>Pagamenti</w:t>
      </w:r>
    </w:p>
    <w:p w14:paraId="6FF1D996" w14:textId="77777777" w:rsidR="008F691E" w:rsidRPr="008F691E" w:rsidRDefault="008F691E" w:rsidP="008F691E">
      <w:pPr>
        <w:pStyle w:val="Paragrafoelenco"/>
        <w:numPr>
          <w:ilvl w:val="0"/>
          <w:numId w:val="1"/>
        </w:numPr>
        <w:spacing w:before="60" w:after="60"/>
        <w:contextualSpacing w:val="0"/>
        <w:rPr>
          <w:rFonts w:asciiTheme="minorHAnsi" w:hAnsiTheme="minorHAnsi"/>
          <w:sz w:val="24"/>
          <w:szCs w:val="24"/>
        </w:rPr>
      </w:pPr>
      <w:r w:rsidRPr="008F691E">
        <w:rPr>
          <w:rFonts w:asciiTheme="minorHAnsi" w:hAnsiTheme="minorHAnsi"/>
          <w:color w:val="2D2D2D"/>
          <w:sz w:val="24"/>
          <w:szCs w:val="24"/>
        </w:rPr>
        <w:t>Giustificativi</w:t>
      </w:r>
    </w:p>
    <w:p w14:paraId="2C353CF7" w14:textId="77777777" w:rsidR="008F691E" w:rsidRPr="008F691E" w:rsidRDefault="008F691E" w:rsidP="008F691E">
      <w:pPr>
        <w:pStyle w:val="Paragrafoelenco"/>
        <w:numPr>
          <w:ilvl w:val="0"/>
          <w:numId w:val="1"/>
        </w:numPr>
        <w:spacing w:before="60" w:after="60"/>
        <w:contextualSpacing w:val="0"/>
        <w:rPr>
          <w:rFonts w:asciiTheme="minorHAnsi" w:hAnsiTheme="minorHAnsi"/>
          <w:sz w:val="24"/>
          <w:szCs w:val="24"/>
        </w:rPr>
      </w:pPr>
      <w:r w:rsidRPr="008F691E">
        <w:rPr>
          <w:rFonts w:asciiTheme="minorHAnsi" w:hAnsiTheme="minorHAnsi"/>
          <w:color w:val="2D2D2D"/>
          <w:sz w:val="24"/>
          <w:szCs w:val="24"/>
        </w:rPr>
        <w:t>Associazioni Pagamento-Giustificativo e Pagamento-Giustificativo-Voce di Spesa</w:t>
      </w:r>
    </w:p>
    <w:p w14:paraId="117091BF" w14:textId="73C2470D" w:rsidR="008F691E" w:rsidRPr="008F691E" w:rsidRDefault="008F691E" w:rsidP="008F691E">
      <w:pPr>
        <w:pStyle w:val="Paragrafoelenco"/>
        <w:numPr>
          <w:ilvl w:val="0"/>
          <w:numId w:val="1"/>
        </w:numPr>
        <w:spacing w:before="60" w:after="60"/>
        <w:contextualSpacing w:val="0"/>
        <w:rPr>
          <w:rFonts w:asciiTheme="minorHAnsi" w:hAnsiTheme="minorHAnsi"/>
          <w:sz w:val="24"/>
          <w:szCs w:val="24"/>
        </w:rPr>
      </w:pPr>
      <w:r w:rsidRPr="008F691E">
        <w:rPr>
          <w:rFonts w:asciiTheme="minorHAnsi" w:hAnsiTheme="minorHAnsi"/>
          <w:color w:val="2D2D2D"/>
          <w:sz w:val="24"/>
          <w:szCs w:val="24"/>
        </w:rPr>
        <w:t>Riferimenti documentali</w:t>
      </w:r>
    </w:p>
    <w:p w14:paraId="7111EF31" w14:textId="6C51694A" w:rsidR="008F691E" w:rsidRPr="008F691E" w:rsidRDefault="008F691E" w:rsidP="008F691E">
      <w:pPr>
        <w:spacing w:before="60" w:after="60"/>
        <w:rPr>
          <w:rFonts w:asciiTheme="minorHAnsi" w:hAnsiTheme="minorHAnsi"/>
          <w:sz w:val="24"/>
          <w:szCs w:val="24"/>
        </w:rPr>
      </w:pPr>
      <w:r w:rsidRPr="008F691E">
        <w:rPr>
          <w:rFonts w:asciiTheme="minorHAnsi" w:hAnsiTheme="minorHAnsi"/>
          <w:sz w:val="24"/>
          <w:szCs w:val="24"/>
        </w:rPr>
        <w:t xml:space="preserve">Per progetti con modalità di rendicontazione a </w:t>
      </w:r>
      <w:r w:rsidRPr="008F691E">
        <w:rPr>
          <w:rFonts w:asciiTheme="minorHAnsi" w:hAnsiTheme="minorHAnsi"/>
          <w:color w:val="2D2D2D"/>
          <w:sz w:val="24"/>
          <w:szCs w:val="24"/>
        </w:rPr>
        <w:t>Importo forfettario, Tasso forfettario, Costo standard</w:t>
      </w:r>
      <w:r w:rsidR="00CC4ED5">
        <w:rPr>
          <w:rFonts w:asciiTheme="minorHAnsi" w:hAnsiTheme="minorHAnsi"/>
          <w:color w:val="2D2D2D"/>
          <w:sz w:val="24"/>
          <w:szCs w:val="24"/>
        </w:rPr>
        <w:t>:</w:t>
      </w:r>
    </w:p>
    <w:p w14:paraId="269400D7" w14:textId="53812DC5" w:rsidR="008F691E" w:rsidRPr="008F691E" w:rsidRDefault="008F691E" w:rsidP="008F691E">
      <w:pPr>
        <w:pStyle w:val="Paragrafoelenco"/>
        <w:numPr>
          <w:ilvl w:val="0"/>
          <w:numId w:val="1"/>
        </w:numPr>
        <w:spacing w:before="60" w:after="60"/>
        <w:contextualSpacing w:val="0"/>
        <w:rPr>
          <w:rFonts w:asciiTheme="minorHAnsi" w:hAnsiTheme="minorHAnsi"/>
          <w:sz w:val="24"/>
          <w:szCs w:val="24"/>
        </w:rPr>
      </w:pPr>
      <w:r w:rsidRPr="008F691E">
        <w:rPr>
          <w:rFonts w:asciiTheme="minorHAnsi" w:hAnsiTheme="minorHAnsi"/>
          <w:color w:val="2D2D2D"/>
          <w:sz w:val="24"/>
          <w:szCs w:val="24"/>
        </w:rPr>
        <w:t>Avanzamenti (Costo standard, Importo Forfettario, Tasso Forfettario);</w:t>
      </w:r>
    </w:p>
    <w:p w14:paraId="4950D0A3" w14:textId="673BE400" w:rsidR="008F691E" w:rsidRPr="008F691E" w:rsidRDefault="008F691E" w:rsidP="008F691E">
      <w:pPr>
        <w:pStyle w:val="Paragrafoelenco"/>
        <w:numPr>
          <w:ilvl w:val="0"/>
          <w:numId w:val="1"/>
        </w:numPr>
        <w:spacing w:before="60" w:after="60"/>
        <w:contextualSpacing w:val="0"/>
        <w:rPr>
          <w:rFonts w:asciiTheme="minorHAnsi" w:hAnsiTheme="minorHAnsi"/>
          <w:sz w:val="24"/>
          <w:szCs w:val="24"/>
        </w:rPr>
      </w:pPr>
      <w:r w:rsidRPr="008F691E">
        <w:rPr>
          <w:rFonts w:asciiTheme="minorHAnsi" w:hAnsiTheme="minorHAnsi"/>
          <w:color w:val="2D2D2D"/>
          <w:sz w:val="24"/>
          <w:szCs w:val="24"/>
        </w:rPr>
        <w:t>Riferimenti documentali.</w:t>
      </w:r>
    </w:p>
    <w:p w14:paraId="75F841AF"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Per ciascuna entità di rendicontazione è disponibile un foglio dedicato all'interno del file Excel di riferimento. Ogni foglio ha la stessa struttura: le colonne rappresentano i campi da compilare, mentre le righe ne descrivono le caratteristiche. Sapere come leggere questo template è il primo passo per compilare correttamente il file di import.</w:t>
      </w:r>
    </w:p>
    <w:p w14:paraId="4FFCD760"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La prima riga del foglio riporta i nomi dei campi. È fondamentale prestare attenzione all'ordine in cui compaiono: quell'ordine è esattamente l'ordine in cui i valori dovranno essere inseriti nella riga del file .txt, separati dal simbolo pipe. Non è possibile modificarlo o saltare un campo.</w:t>
      </w:r>
    </w:p>
    <w:p w14:paraId="31DF6102"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La seconda riga indica il tipo di dato atteso per ciascun campo: Alfanumerico per testi e codici, Numerico per importi e quantità, Data per le date. Questa informazione ti dice immediatamente in quale formato dovrai esprimere il valore.</w:t>
      </w:r>
    </w:p>
    <w:p w14:paraId="6199491D"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 xml:space="preserve">La terza riga specifica il formato del campo in modo più dettagliato: ad esempio Stringa, codice indica che il campo accetta un codice prestabilito; Stringa, campo libero indica che puoi inserire testo libero; </w:t>
      </w:r>
      <w:proofErr w:type="spellStart"/>
      <w:r w:rsidRPr="008F691E">
        <w:rPr>
          <w:rFonts w:asciiTheme="minorHAnsi" w:hAnsiTheme="minorHAnsi"/>
          <w:color w:val="2D2D2D"/>
          <w:sz w:val="24"/>
          <w:szCs w:val="24"/>
        </w:rPr>
        <w:t>dd</w:t>
      </w:r>
      <w:proofErr w:type="spellEnd"/>
      <w:r w:rsidRPr="008F691E">
        <w:rPr>
          <w:rFonts w:asciiTheme="minorHAnsi" w:hAnsiTheme="minorHAnsi"/>
          <w:color w:val="2D2D2D"/>
          <w:sz w:val="24"/>
          <w:szCs w:val="24"/>
        </w:rPr>
        <w:t>/mm/</w:t>
      </w:r>
      <w:proofErr w:type="spellStart"/>
      <w:r w:rsidRPr="008F691E">
        <w:rPr>
          <w:rFonts w:asciiTheme="minorHAnsi" w:hAnsiTheme="minorHAnsi"/>
          <w:color w:val="2D2D2D"/>
          <w:sz w:val="24"/>
          <w:szCs w:val="24"/>
        </w:rPr>
        <w:t>yy</w:t>
      </w:r>
      <w:proofErr w:type="spellEnd"/>
      <w:r w:rsidRPr="008F691E">
        <w:rPr>
          <w:rFonts w:asciiTheme="minorHAnsi" w:hAnsiTheme="minorHAnsi"/>
          <w:color w:val="2D2D2D"/>
          <w:sz w:val="24"/>
          <w:szCs w:val="24"/>
        </w:rPr>
        <w:t xml:space="preserve"> indica che la data deve essere nel formato giorno/mese/anno.</w:t>
      </w:r>
    </w:p>
    <w:p w14:paraId="5096D100"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La quarta riga indica la lunghezza massima del campo, espressa in caratteri o cifre. Superare questo limite causerà un errore in fase di import.</w:t>
      </w:r>
    </w:p>
    <w:p w14:paraId="44DCC351"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La quinta riga contiene la sigla che indica l'obbligatorietà del campo, secondo la seguente legenda:</w:t>
      </w:r>
    </w:p>
    <w:p w14:paraId="643DDDDB" w14:textId="77777777" w:rsidR="008F691E" w:rsidRPr="008F691E" w:rsidRDefault="008F691E" w:rsidP="008F691E">
      <w:pPr>
        <w:pStyle w:val="Paragrafoelenco"/>
        <w:numPr>
          <w:ilvl w:val="0"/>
          <w:numId w:val="2"/>
        </w:numPr>
        <w:spacing w:before="60" w:after="60"/>
        <w:contextualSpacing w:val="0"/>
        <w:rPr>
          <w:rFonts w:asciiTheme="minorHAnsi" w:hAnsiTheme="minorHAnsi"/>
          <w:sz w:val="24"/>
          <w:szCs w:val="24"/>
        </w:rPr>
      </w:pPr>
      <w:r w:rsidRPr="008F691E">
        <w:rPr>
          <w:rFonts w:asciiTheme="minorHAnsi" w:hAnsiTheme="minorHAnsi"/>
          <w:b/>
          <w:bCs/>
          <w:color w:val="2D2D2D"/>
          <w:sz w:val="24"/>
          <w:szCs w:val="24"/>
        </w:rPr>
        <w:t>O – Obbligatorio</w:t>
      </w:r>
      <w:r w:rsidRPr="008F691E">
        <w:rPr>
          <w:rFonts w:asciiTheme="minorHAnsi" w:hAnsiTheme="minorHAnsi"/>
          <w:color w:val="2D2D2D"/>
          <w:sz w:val="24"/>
          <w:szCs w:val="24"/>
        </w:rPr>
        <w:t>: il campo deve essere sempre compilato.</w:t>
      </w:r>
    </w:p>
    <w:p w14:paraId="3474F5D3" w14:textId="77777777" w:rsidR="008F691E" w:rsidRPr="008F691E" w:rsidRDefault="008F691E" w:rsidP="008F691E">
      <w:pPr>
        <w:pStyle w:val="Paragrafoelenco"/>
        <w:numPr>
          <w:ilvl w:val="0"/>
          <w:numId w:val="2"/>
        </w:numPr>
        <w:spacing w:before="60" w:after="60"/>
        <w:contextualSpacing w:val="0"/>
        <w:rPr>
          <w:rFonts w:asciiTheme="minorHAnsi" w:hAnsiTheme="minorHAnsi"/>
          <w:sz w:val="24"/>
          <w:szCs w:val="24"/>
        </w:rPr>
      </w:pPr>
      <w:r w:rsidRPr="008F691E">
        <w:rPr>
          <w:rFonts w:asciiTheme="minorHAnsi" w:hAnsiTheme="minorHAnsi"/>
          <w:b/>
          <w:bCs/>
          <w:color w:val="2D2D2D"/>
          <w:sz w:val="24"/>
          <w:szCs w:val="24"/>
        </w:rPr>
        <w:lastRenderedPageBreak/>
        <w:t>C – Condizionato</w:t>
      </w:r>
      <w:r w:rsidRPr="008F691E">
        <w:rPr>
          <w:rFonts w:asciiTheme="minorHAnsi" w:hAnsiTheme="minorHAnsi"/>
          <w:color w:val="2D2D2D"/>
          <w:sz w:val="24"/>
          <w:szCs w:val="24"/>
        </w:rPr>
        <w:t>: il campo è obbligatorio solo al verificarsi di determinate condizioni, descritte nella riga Descrizione.</w:t>
      </w:r>
    </w:p>
    <w:p w14:paraId="06075C46" w14:textId="77777777" w:rsidR="008F691E" w:rsidRPr="008F691E" w:rsidRDefault="008F691E" w:rsidP="008F691E">
      <w:pPr>
        <w:pStyle w:val="Paragrafoelenco"/>
        <w:numPr>
          <w:ilvl w:val="0"/>
          <w:numId w:val="2"/>
        </w:numPr>
        <w:spacing w:before="60" w:after="60"/>
        <w:contextualSpacing w:val="0"/>
        <w:rPr>
          <w:rFonts w:asciiTheme="minorHAnsi" w:hAnsiTheme="minorHAnsi"/>
          <w:sz w:val="24"/>
          <w:szCs w:val="24"/>
        </w:rPr>
      </w:pPr>
      <w:r w:rsidRPr="008F691E">
        <w:rPr>
          <w:rFonts w:asciiTheme="minorHAnsi" w:hAnsiTheme="minorHAnsi"/>
          <w:b/>
          <w:bCs/>
          <w:color w:val="2D2D2D"/>
          <w:sz w:val="24"/>
          <w:szCs w:val="24"/>
        </w:rPr>
        <w:t>F – Facoltativo</w:t>
      </w:r>
      <w:r w:rsidRPr="008F691E">
        <w:rPr>
          <w:rFonts w:asciiTheme="minorHAnsi" w:hAnsiTheme="minorHAnsi"/>
          <w:color w:val="2D2D2D"/>
          <w:sz w:val="24"/>
          <w:szCs w:val="24"/>
        </w:rPr>
        <w:t>: il campo può essere lasciato vuoto.</w:t>
      </w:r>
    </w:p>
    <w:p w14:paraId="636B9AE1" w14:textId="77777777" w:rsidR="008F691E" w:rsidRPr="008F691E" w:rsidRDefault="008F691E" w:rsidP="008F691E">
      <w:pPr>
        <w:pStyle w:val="Paragrafoelenco"/>
        <w:numPr>
          <w:ilvl w:val="0"/>
          <w:numId w:val="2"/>
        </w:numPr>
        <w:spacing w:before="60" w:after="60"/>
        <w:contextualSpacing w:val="0"/>
        <w:rPr>
          <w:rFonts w:asciiTheme="minorHAnsi" w:hAnsiTheme="minorHAnsi"/>
          <w:sz w:val="24"/>
          <w:szCs w:val="24"/>
        </w:rPr>
      </w:pPr>
      <w:r w:rsidRPr="008F691E">
        <w:rPr>
          <w:rFonts w:asciiTheme="minorHAnsi" w:hAnsiTheme="minorHAnsi"/>
          <w:b/>
          <w:bCs/>
          <w:color w:val="2D2D2D"/>
          <w:sz w:val="24"/>
          <w:szCs w:val="24"/>
        </w:rPr>
        <w:t>K – Chiave</w:t>
      </w:r>
      <w:r w:rsidRPr="008F691E">
        <w:rPr>
          <w:rFonts w:asciiTheme="minorHAnsi" w:hAnsiTheme="minorHAnsi"/>
          <w:color w:val="2D2D2D"/>
          <w:sz w:val="24"/>
          <w:szCs w:val="24"/>
        </w:rPr>
        <w:t>: il campo è identificativo univoco dell'entità e deve essere sempre compilato.</w:t>
      </w:r>
    </w:p>
    <w:p w14:paraId="3221A572"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La sesta riga contiene la descrizione del campo: spiega cosa deve essere inserito, le eventuali condizioni di compilazione e i valori ammessi. È la riga più importante da leggere prima di compilare un campo non familiare.</w:t>
      </w:r>
    </w:p>
    <w:p w14:paraId="4FD4DBFB" w14:textId="1D05EB7D"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La settima riga, quando presente, riporta il riferimento alla tabella di contesto da cui attingere i valori ammessi per quel campo. Le tabelle di contesto sono fogli separati all'interno dello stesso file Excel e contengono i codici che il sistema è in grado di riconoscere: è fondamentale utilizzare esattamente i codici indicati, senza variazioni.</w:t>
      </w:r>
    </w:p>
    <w:p w14:paraId="340816A8" w14:textId="77777777" w:rsidR="008F691E" w:rsidRPr="008F691E" w:rsidRDefault="008F691E" w:rsidP="008F691E">
      <w:pPr>
        <w:spacing w:before="100" w:after="100"/>
        <w:jc w:val="both"/>
        <w:rPr>
          <w:rFonts w:asciiTheme="minorHAnsi" w:hAnsiTheme="minorHAnsi"/>
          <w:sz w:val="24"/>
          <w:szCs w:val="24"/>
        </w:rPr>
      </w:pPr>
      <w:r w:rsidRPr="008F691E">
        <w:rPr>
          <w:rFonts w:asciiTheme="minorHAnsi" w:hAnsiTheme="minorHAnsi"/>
          <w:color w:val="2D2D2D"/>
          <w:sz w:val="24"/>
          <w:szCs w:val="24"/>
        </w:rPr>
        <w:t>L'ultima riga del template riporta un esempio di compilazione per ciascun campo. È il riferimento più immediato per capire come deve apparire la riga nel file .txt: i valori dell'esempio, riportati nell'ordine delle colonne e separati dal simbolo pipe, costituiscono esattamente una riga valida pronta per l'import.</w:t>
      </w:r>
    </w:p>
    <w:p w14:paraId="355A0924" w14:textId="77777777" w:rsidR="008F691E" w:rsidRDefault="008F691E" w:rsidP="008F691E">
      <w:pPr>
        <w:spacing w:before="100" w:after="100"/>
        <w:jc w:val="both"/>
        <w:rPr>
          <w:rFonts w:asciiTheme="minorHAnsi" w:hAnsiTheme="minorHAnsi"/>
          <w:color w:val="2D2D2D"/>
          <w:sz w:val="24"/>
          <w:szCs w:val="24"/>
        </w:rPr>
      </w:pPr>
      <w:r w:rsidRPr="008F691E">
        <w:rPr>
          <w:rFonts w:asciiTheme="minorHAnsi" w:hAnsiTheme="minorHAnsi"/>
          <w:color w:val="2D2D2D"/>
          <w:sz w:val="24"/>
          <w:szCs w:val="24"/>
        </w:rPr>
        <w:t>Un'ultima regola da tenere sempre a mente: anche i campi Facoltativi e Condizionati che non vengono valorizzati devono comunque essere presenti nella riga del file .txt. In pratica, al posto del valore si lasciano semplicemente le due pipe consecutive, senza nulla in mezzo (||). Il numero totale di separatori non cambia mai, indipendentemente da quanti campi siano effettivamente compilati.</w:t>
      </w:r>
    </w:p>
    <w:p w14:paraId="336DC0B5" w14:textId="5AD8304A" w:rsidR="008F691E" w:rsidRDefault="005D719C" w:rsidP="008F691E">
      <w:pPr>
        <w:spacing w:before="100" w:after="100"/>
        <w:jc w:val="both"/>
        <w:rPr>
          <w:rFonts w:asciiTheme="minorHAnsi" w:hAnsiTheme="minorHAnsi"/>
          <w:color w:val="2D2D2D"/>
          <w:sz w:val="24"/>
          <w:szCs w:val="24"/>
        </w:rPr>
      </w:pPr>
      <w:r>
        <w:rPr>
          <w:rFonts w:asciiTheme="minorHAnsi" w:hAnsiTheme="minorHAnsi"/>
          <w:color w:val="2D2D2D"/>
          <w:sz w:val="24"/>
          <w:szCs w:val="24"/>
        </w:rPr>
        <w:t>A supporto dell’attività di import, n</w:t>
      </w:r>
      <w:r w:rsidR="00A32CF7">
        <w:rPr>
          <w:rFonts w:asciiTheme="minorHAnsi" w:hAnsiTheme="minorHAnsi"/>
          <w:color w:val="2D2D2D"/>
          <w:sz w:val="24"/>
          <w:szCs w:val="24"/>
        </w:rPr>
        <w:t>ella cartella</w:t>
      </w:r>
      <w:r w:rsidR="008F691E">
        <w:rPr>
          <w:rFonts w:asciiTheme="minorHAnsi" w:hAnsiTheme="minorHAnsi"/>
          <w:color w:val="2D2D2D"/>
          <w:sz w:val="24"/>
          <w:szCs w:val="24"/>
        </w:rPr>
        <w:t xml:space="preserve"> troverai:</w:t>
      </w:r>
    </w:p>
    <w:p w14:paraId="47D0D4C9" w14:textId="09F8CC45" w:rsidR="00CC4ED5" w:rsidRPr="00CC4ED5" w:rsidRDefault="008F691E" w:rsidP="00CC4ED5">
      <w:pPr>
        <w:pStyle w:val="Paragrafoelenco"/>
        <w:numPr>
          <w:ilvl w:val="0"/>
          <w:numId w:val="3"/>
        </w:numPr>
        <w:spacing w:before="100" w:after="100"/>
        <w:jc w:val="both"/>
        <w:rPr>
          <w:rFonts w:asciiTheme="minorHAnsi" w:hAnsiTheme="minorHAnsi"/>
          <w:sz w:val="24"/>
          <w:szCs w:val="24"/>
        </w:rPr>
      </w:pPr>
      <w:r>
        <w:rPr>
          <w:rFonts w:asciiTheme="minorHAnsi" w:hAnsiTheme="minorHAnsi"/>
          <w:sz w:val="24"/>
          <w:szCs w:val="24"/>
        </w:rPr>
        <w:t xml:space="preserve">I </w:t>
      </w:r>
      <w:r w:rsidR="00823B61">
        <w:rPr>
          <w:rFonts w:asciiTheme="minorHAnsi" w:hAnsiTheme="minorHAnsi"/>
          <w:sz w:val="24"/>
          <w:szCs w:val="24"/>
        </w:rPr>
        <w:t>tracciati riferiti a ciascuna entità,</w:t>
      </w:r>
      <w:r>
        <w:rPr>
          <w:rFonts w:asciiTheme="minorHAnsi" w:hAnsiTheme="minorHAnsi"/>
          <w:sz w:val="24"/>
          <w:szCs w:val="24"/>
        </w:rPr>
        <w:t xml:space="preserve"> in formato XLS</w:t>
      </w:r>
      <w:r w:rsidR="00823B61">
        <w:rPr>
          <w:rFonts w:asciiTheme="minorHAnsi" w:hAnsiTheme="minorHAnsi"/>
          <w:sz w:val="24"/>
          <w:szCs w:val="24"/>
        </w:rPr>
        <w:t>;</w:t>
      </w:r>
    </w:p>
    <w:p w14:paraId="75618F35" w14:textId="620C80FC" w:rsidR="008F691E" w:rsidRDefault="008F691E" w:rsidP="008F691E">
      <w:pPr>
        <w:pStyle w:val="Paragrafoelenco"/>
        <w:numPr>
          <w:ilvl w:val="0"/>
          <w:numId w:val="3"/>
        </w:numPr>
        <w:spacing w:before="100" w:after="100"/>
        <w:jc w:val="both"/>
        <w:rPr>
          <w:rFonts w:asciiTheme="minorHAnsi" w:hAnsiTheme="minorHAnsi"/>
          <w:sz w:val="24"/>
          <w:szCs w:val="24"/>
        </w:rPr>
      </w:pPr>
      <w:r>
        <w:rPr>
          <w:rFonts w:asciiTheme="minorHAnsi" w:hAnsiTheme="minorHAnsi"/>
          <w:sz w:val="24"/>
          <w:szCs w:val="24"/>
        </w:rPr>
        <w:t>Un esempio di compilazione per ciascuna entità all’interno di un file .txt;</w:t>
      </w:r>
    </w:p>
    <w:p w14:paraId="39B22762" w14:textId="42DD5B75" w:rsidR="008F691E" w:rsidRDefault="008F691E" w:rsidP="008F691E">
      <w:pPr>
        <w:pStyle w:val="Paragrafoelenco"/>
        <w:numPr>
          <w:ilvl w:val="0"/>
          <w:numId w:val="3"/>
        </w:numPr>
        <w:spacing w:before="100" w:after="100"/>
        <w:jc w:val="both"/>
        <w:rPr>
          <w:rFonts w:asciiTheme="minorHAnsi" w:hAnsiTheme="minorHAnsi"/>
          <w:sz w:val="24"/>
          <w:szCs w:val="24"/>
        </w:rPr>
      </w:pPr>
      <w:r>
        <w:rPr>
          <w:rFonts w:asciiTheme="minorHAnsi" w:hAnsiTheme="minorHAnsi"/>
          <w:sz w:val="24"/>
          <w:szCs w:val="24"/>
        </w:rPr>
        <w:t>Il dettaglio dei controlli di prevalidazione e dei controlli effettuati dal sistema ad ogni import di un file</w:t>
      </w:r>
      <w:r w:rsidR="00823B61">
        <w:rPr>
          <w:rFonts w:asciiTheme="minorHAnsi" w:hAnsiTheme="minorHAnsi"/>
          <w:sz w:val="24"/>
          <w:szCs w:val="24"/>
        </w:rPr>
        <w:t>;</w:t>
      </w:r>
    </w:p>
    <w:p w14:paraId="60D86B57" w14:textId="61DCAB59" w:rsidR="00823B61" w:rsidRDefault="00823B61" w:rsidP="00823B61">
      <w:pPr>
        <w:pStyle w:val="Paragrafoelenco"/>
        <w:numPr>
          <w:ilvl w:val="0"/>
          <w:numId w:val="3"/>
        </w:numPr>
        <w:spacing w:before="100" w:after="100"/>
        <w:jc w:val="both"/>
        <w:rPr>
          <w:rFonts w:asciiTheme="minorHAnsi" w:hAnsiTheme="minorHAnsi"/>
          <w:sz w:val="24"/>
          <w:szCs w:val="24"/>
        </w:rPr>
      </w:pPr>
      <w:r>
        <w:rPr>
          <w:rFonts w:asciiTheme="minorHAnsi" w:hAnsiTheme="minorHAnsi"/>
          <w:sz w:val="24"/>
          <w:szCs w:val="24"/>
        </w:rPr>
        <w:t>Le linee guida all’utilizzo della funzionalità;</w:t>
      </w:r>
    </w:p>
    <w:p w14:paraId="2C5D7AFA" w14:textId="3447F013" w:rsidR="00823B61" w:rsidRPr="00823B61" w:rsidRDefault="00823B61" w:rsidP="00823B61">
      <w:pPr>
        <w:pStyle w:val="Paragrafoelenco"/>
        <w:numPr>
          <w:ilvl w:val="0"/>
          <w:numId w:val="3"/>
        </w:numPr>
        <w:spacing w:before="100" w:after="100"/>
        <w:jc w:val="both"/>
        <w:rPr>
          <w:rFonts w:asciiTheme="minorHAnsi" w:hAnsiTheme="minorHAnsi"/>
          <w:sz w:val="24"/>
          <w:szCs w:val="24"/>
        </w:rPr>
      </w:pPr>
      <w:r>
        <w:rPr>
          <w:rFonts w:asciiTheme="minorHAnsi" w:hAnsiTheme="minorHAnsi"/>
          <w:sz w:val="24"/>
          <w:szCs w:val="24"/>
        </w:rPr>
        <w:t>Il template per il caricamento massivo delle anagrafiche, per l’utilizzo della funzionalità di Import delle anagrafiche dei destinatari delle misure di progetto e/o degli allievi dei corsi di formazione.</w:t>
      </w:r>
    </w:p>
    <w:p w14:paraId="45B0CD53" w14:textId="77777777" w:rsidR="008F691E" w:rsidRPr="008F691E" w:rsidRDefault="008F691E" w:rsidP="008F691E">
      <w:pPr>
        <w:spacing w:before="100" w:after="100"/>
        <w:ind w:left="360"/>
        <w:jc w:val="both"/>
        <w:rPr>
          <w:rFonts w:asciiTheme="minorHAnsi" w:hAnsiTheme="minorHAnsi"/>
          <w:sz w:val="24"/>
          <w:szCs w:val="24"/>
        </w:rPr>
      </w:pPr>
    </w:p>
    <w:p w14:paraId="3A7BAADA" w14:textId="77777777" w:rsidR="008F691E" w:rsidRPr="008F691E" w:rsidRDefault="008F691E" w:rsidP="008F691E">
      <w:pPr>
        <w:spacing w:before="60" w:after="60"/>
        <w:rPr>
          <w:rFonts w:asciiTheme="minorHAnsi" w:hAnsiTheme="minorHAnsi"/>
          <w:sz w:val="24"/>
          <w:szCs w:val="24"/>
        </w:rPr>
      </w:pPr>
    </w:p>
    <w:p w14:paraId="16F0F147" w14:textId="77777777" w:rsidR="008F691E" w:rsidRPr="008F691E" w:rsidRDefault="008F691E" w:rsidP="008F691E">
      <w:pPr>
        <w:spacing w:after="160"/>
        <w:rPr>
          <w:rFonts w:asciiTheme="minorHAnsi" w:hAnsiTheme="minorHAnsi"/>
          <w:sz w:val="24"/>
          <w:szCs w:val="24"/>
        </w:rPr>
      </w:pPr>
    </w:p>
    <w:p w14:paraId="24C611EF" w14:textId="77777777" w:rsidR="001F0BF2" w:rsidRPr="008F691E" w:rsidRDefault="001F0BF2">
      <w:pPr>
        <w:rPr>
          <w:rFonts w:asciiTheme="minorHAnsi" w:hAnsiTheme="minorHAnsi"/>
          <w:sz w:val="24"/>
          <w:szCs w:val="24"/>
        </w:rPr>
      </w:pPr>
    </w:p>
    <w:sectPr w:rsidR="001F0BF2" w:rsidRPr="008F69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37D41"/>
    <w:multiLevelType w:val="hybridMultilevel"/>
    <w:tmpl w:val="E6C6F51E"/>
    <w:lvl w:ilvl="0" w:tplc="367CC0CC">
      <w:start w:val="1"/>
      <w:numFmt w:val="bullet"/>
      <w:lvlText w:val="•"/>
      <w:lvlJc w:val="left"/>
      <w:pPr>
        <w:ind w:left="540" w:hanging="260"/>
      </w:pPr>
    </w:lvl>
    <w:lvl w:ilvl="1" w:tplc="E2266D2A">
      <w:numFmt w:val="decimal"/>
      <w:lvlText w:val=""/>
      <w:lvlJc w:val="left"/>
    </w:lvl>
    <w:lvl w:ilvl="2" w:tplc="60B229A6">
      <w:numFmt w:val="decimal"/>
      <w:lvlText w:val=""/>
      <w:lvlJc w:val="left"/>
    </w:lvl>
    <w:lvl w:ilvl="3" w:tplc="5498AF48">
      <w:numFmt w:val="decimal"/>
      <w:lvlText w:val=""/>
      <w:lvlJc w:val="left"/>
    </w:lvl>
    <w:lvl w:ilvl="4" w:tplc="FC12EF58">
      <w:numFmt w:val="decimal"/>
      <w:lvlText w:val=""/>
      <w:lvlJc w:val="left"/>
    </w:lvl>
    <w:lvl w:ilvl="5" w:tplc="A46C39DC">
      <w:numFmt w:val="decimal"/>
      <w:lvlText w:val=""/>
      <w:lvlJc w:val="left"/>
    </w:lvl>
    <w:lvl w:ilvl="6" w:tplc="F6F6F180">
      <w:numFmt w:val="decimal"/>
      <w:lvlText w:val=""/>
      <w:lvlJc w:val="left"/>
    </w:lvl>
    <w:lvl w:ilvl="7" w:tplc="475849DA">
      <w:numFmt w:val="decimal"/>
      <w:lvlText w:val=""/>
      <w:lvlJc w:val="left"/>
    </w:lvl>
    <w:lvl w:ilvl="8" w:tplc="B38C993A">
      <w:numFmt w:val="decimal"/>
      <w:lvlText w:val=""/>
      <w:lvlJc w:val="left"/>
    </w:lvl>
  </w:abstractNum>
  <w:abstractNum w:abstractNumId="1" w15:restartNumberingAfterBreak="0">
    <w:nsid w:val="45005937"/>
    <w:multiLevelType w:val="hybridMultilevel"/>
    <w:tmpl w:val="A73AF026"/>
    <w:lvl w:ilvl="0" w:tplc="C5A85B00">
      <w:numFmt w:val="bullet"/>
      <w:lvlText w:val="-"/>
      <w:lvlJc w:val="left"/>
      <w:pPr>
        <w:ind w:left="720" w:hanging="360"/>
      </w:pPr>
      <w:rPr>
        <w:rFonts w:ascii="Aptos" w:eastAsia="Calibri" w:hAnsi="Aptos" w:cs="Calibri" w:hint="default"/>
        <w:color w:val="2D2D2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D47763"/>
    <w:multiLevelType w:val="hybridMultilevel"/>
    <w:tmpl w:val="AB6617EC"/>
    <w:lvl w:ilvl="0" w:tplc="1756A182">
      <w:start w:val="1"/>
      <w:numFmt w:val="bullet"/>
      <w:lvlText w:val="•"/>
      <w:lvlJc w:val="left"/>
      <w:pPr>
        <w:ind w:left="540" w:hanging="260"/>
      </w:pPr>
    </w:lvl>
    <w:lvl w:ilvl="1" w:tplc="744C0F06">
      <w:numFmt w:val="decimal"/>
      <w:lvlText w:val=""/>
      <w:lvlJc w:val="left"/>
    </w:lvl>
    <w:lvl w:ilvl="2" w:tplc="AD8C7EC6">
      <w:numFmt w:val="decimal"/>
      <w:lvlText w:val=""/>
      <w:lvlJc w:val="left"/>
    </w:lvl>
    <w:lvl w:ilvl="3" w:tplc="E98E9A1E">
      <w:numFmt w:val="decimal"/>
      <w:lvlText w:val=""/>
      <w:lvlJc w:val="left"/>
    </w:lvl>
    <w:lvl w:ilvl="4" w:tplc="FD90301C">
      <w:numFmt w:val="decimal"/>
      <w:lvlText w:val=""/>
      <w:lvlJc w:val="left"/>
    </w:lvl>
    <w:lvl w:ilvl="5" w:tplc="00E81DDE">
      <w:numFmt w:val="decimal"/>
      <w:lvlText w:val=""/>
      <w:lvlJc w:val="left"/>
    </w:lvl>
    <w:lvl w:ilvl="6" w:tplc="236E9398">
      <w:numFmt w:val="decimal"/>
      <w:lvlText w:val=""/>
      <w:lvlJc w:val="left"/>
    </w:lvl>
    <w:lvl w:ilvl="7" w:tplc="B418B440">
      <w:numFmt w:val="decimal"/>
      <w:lvlText w:val=""/>
      <w:lvlJc w:val="left"/>
    </w:lvl>
    <w:lvl w:ilvl="8" w:tplc="AE1027AE">
      <w:numFmt w:val="decimal"/>
      <w:lvlText w:val=""/>
      <w:lvlJc w:val="left"/>
    </w:lvl>
  </w:abstractNum>
  <w:num w:numId="1" w16cid:durableId="1069767046">
    <w:abstractNumId w:val="2"/>
    <w:lvlOverride w:ilvl="0">
      <w:startOverride w:val="1"/>
    </w:lvlOverride>
  </w:num>
  <w:num w:numId="2" w16cid:durableId="80222424">
    <w:abstractNumId w:val="0"/>
    <w:lvlOverride w:ilvl="0">
      <w:startOverride w:val="1"/>
    </w:lvlOverride>
  </w:num>
  <w:num w:numId="3" w16cid:durableId="1173573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1E"/>
    <w:rsid w:val="001F0BF2"/>
    <w:rsid w:val="0024219D"/>
    <w:rsid w:val="005D719C"/>
    <w:rsid w:val="005F7044"/>
    <w:rsid w:val="00786DC1"/>
    <w:rsid w:val="007932F4"/>
    <w:rsid w:val="00823B61"/>
    <w:rsid w:val="00893E5F"/>
    <w:rsid w:val="008A29E2"/>
    <w:rsid w:val="008A61DB"/>
    <w:rsid w:val="008F691E"/>
    <w:rsid w:val="009124CF"/>
    <w:rsid w:val="00A32CF7"/>
    <w:rsid w:val="00A4181D"/>
    <w:rsid w:val="00AB199C"/>
    <w:rsid w:val="00CC4ED5"/>
    <w:rsid w:val="00DF1A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531C6"/>
  <w15:chartTrackingRefBased/>
  <w15:docId w15:val="{8C112365-04B1-412E-9101-6D0272FA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691E"/>
    <w:pPr>
      <w:spacing w:after="0" w:line="240" w:lineRule="auto"/>
    </w:pPr>
    <w:rPr>
      <w:rFonts w:ascii="Calibri" w:eastAsia="Calibri" w:hAnsi="Calibri" w:cs="Calibri"/>
      <w:kern w:val="0"/>
      <w:sz w:val="20"/>
      <w:szCs w:val="20"/>
      <w:lang w:eastAsia="it-IT"/>
      <w14:ligatures w14:val="none"/>
    </w:rPr>
  </w:style>
  <w:style w:type="paragraph" w:styleId="Titolo1">
    <w:name w:val="heading 1"/>
    <w:basedOn w:val="Normale"/>
    <w:next w:val="Normale"/>
    <w:link w:val="Titolo1Carattere"/>
    <w:uiPriority w:val="9"/>
    <w:qFormat/>
    <w:rsid w:val="008F6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F6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F69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F69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F69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F69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F69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F69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F69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F69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F69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F69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F69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F69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F69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F69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F69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F69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F69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F69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F69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F69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F69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F691E"/>
    <w:rPr>
      <w:i/>
      <w:iCs/>
      <w:color w:val="404040" w:themeColor="text1" w:themeTint="BF"/>
    </w:rPr>
  </w:style>
  <w:style w:type="paragraph" w:styleId="Paragrafoelenco">
    <w:name w:val="List Paragraph"/>
    <w:basedOn w:val="Normale"/>
    <w:qFormat/>
    <w:rsid w:val="008F691E"/>
    <w:pPr>
      <w:ind w:left="720"/>
      <w:contextualSpacing/>
    </w:pPr>
  </w:style>
  <w:style w:type="character" w:styleId="Enfasiintensa">
    <w:name w:val="Intense Emphasis"/>
    <w:basedOn w:val="Carpredefinitoparagrafo"/>
    <w:uiPriority w:val="21"/>
    <w:qFormat/>
    <w:rsid w:val="008F691E"/>
    <w:rPr>
      <w:i/>
      <w:iCs/>
      <w:color w:val="0F4761" w:themeColor="accent1" w:themeShade="BF"/>
    </w:rPr>
  </w:style>
  <w:style w:type="paragraph" w:styleId="Citazioneintensa">
    <w:name w:val="Intense Quote"/>
    <w:basedOn w:val="Normale"/>
    <w:next w:val="Normale"/>
    <w:link w:val="CitazioneintensaCarattere"/>
    <w:uiPriority w:val="30"/>
    <w:qFormat/>
    <w:rsid w:val="008F6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F691E"/>
    <w:rPr>
      <w:i/>
      <w:iCs/>
      <w:color w:val="0F4761" w:themeColor="accent1" w:themeShade="BF"/>
    </w:rPr>
  </w:style>
  <w:style w:type="character" w:styleId="Riferimentointenso">
    <w:name w:val="Intense Reference"/>
    <w:basedOn w:val="Carpredefinitoparagrafo"/>
    <w:uiPriority w:val="32"/>
    <w:qFormat/>
    <w:rsid w:val="008F69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Esposito</dc:creator>
  <cp:keywords/>
  <dc:description/>
  <cp:lastModifiedBy>Luisa Esposito</cp:lastModifiedBy>
  <cp:revision>2</cp:revision>
  <dcterms:created xsi:type="dcterms:W3CDTF">2026-06-17T14:48:00Z</dcterms:created>
  <dcterms:modified xsi:type="dcterms:W3CDTF">2026-06-17T14:48:00Z</dcterms:modified>
</cp:coreProperties>
</file>